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44" w:rsidRPr="005F7D44" w:rsidRDefault="005F7D44" w:rsidP="005F7D4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lt-LT"/>
        </w:rPr>
      </w:pPr>
      <w:r w:rsidRPr="005F7D44">
        <w:rPr>
          <w:rFonts w:ascii="Times New Roman" w:eastAsia="Times New Roman" w:hAnsi="Times New Roman" w:cs="Times New Roman"/>
          <w:b/>
          <w:bCs/>
          <w:color w:val="156D83"/>
          <w:sz w:val="24"/>
          <w:szCs w:val="24"/>
          <w:lang w:eastAsia="lt-LT"/>
        </w:rPr>
        <w:t>TRUMPAI APIE EUROPINĘ ASMENS DUOMENŲ APSAUGOS REFORMĄ</w:t>
      </w:r>
    </w:p>
    <w:p w:rsidR="005F7D44" w:rsidRPr="005F7D44" w:rsidRDefault="005F7D44" w:rsidP="005F7D4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F7D44">
        <w:rPr>
          <w:rFonts w:ascii="Times New Roman" w:eastAsia="Times New Roman" w:hAnsi="Times New Roman" w:cs="Times New Roman"/>
          <w:color w:val="000000"/>
          <w:sz w:val="24"/>
          <w:szCs w:val="24"/>
          <w:lang w:eastAsia="lt-LT"/>
        </w:rPr>
        <w:t>Asmens duomenų apsaugos reforma – tai 2012 m. Europos Komisijos pasiūlytas teisės aktų rinkinys, siekiant atnaujinti ir modernizuoti 1995 m. duomenų apsaugos direktyvos ir 2008 m. pamatinio sprendimo dėl duomenų, tvarkomų vykdant teisminį bendradarbiavimą baudžiamosiose bylose ir policijos bendradarbiavimą, apsaugos taisykles.</w:t>
      </w:r>
    </w:p>
    <w:p w:rsidR="005F7D44" w:rsidRPr="005F7D44" w:rsidRDefault="005F7D44" w:rsidP="005F7D4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5F7D44">
        <w:rPr>
          <w:rFonts w:ascii="Times New Roman" w:eastAsia="Times New Roman" w:hAnsi="Times New Roman" w:cs="Times New Roman"/>
          <w:color w:val="000000"/>
          <w:sz w:val="24"/>
          <w:szCs w:val="24"/>
          <w:lang w:eastAsia="lt-LT"/>
        </w:rPr>
        <w:t>Būtinybę turėti visose Europos Sąjungos valstybėse narėse vienodus ir atnaujintus asmens duomenų apsaugą reglamentuojančius teisės aktus paskatino siekis užtikrinti vieną iš pagrindinių žmogaus teisių – teisę į asmens duomenų apsaugą, sudaryti sąlygas skaitmeninės ekonomikos plėtrai ir sustiprinti kovą su nusikalstamumu ir terorizmu.</w:t>
      </w:r>
    </w:p>
    <w:p w:rsidR="005F7D44" w:rsidRPr="005F7D44" w:rsidRDefault="00F67B7E" w:rsidP="005F7D4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hyperlink r:id="rId6" w:tgtFrame="_blank" w:history="1">
        <w:r w:rsidR="005F7D44" w:rsidRPr="005F7D44">
          <w:rPr>
            <w:rFonts w:ascii="Times New Roman" w:eastAsia="Times New Roman" w:hAnsi="Times New Roman" w:cs="Times New Roman"/>
            <w:color w:val="FF0000"/>
            <w:sz w:val="20"/>
            <w:szCs w:val="20"/>
            <w:u w:val="single"/>
            <w:shd w:val="clear" w:color="auto" w:fill="FFFF99"/>
            <w:lang w:eastAsia="lt-LT"/>
          </w:rPr>
          <w:t>Dėmesio! </w:t>
        </w:r>
        <w:r w:rsidR="005F7D44" w:rsidRPr="005F7D44">
          <w:rPr>
            <w:rFonts w:ascii="Times New Roman" w:eastAsia="Times New Roman" w:hAnsi="Times New Roman" w:cs="Times New Roman"/>
            <w:color w:val="0000FF"/>
            <w:sz w:val="24"/>
            <w:szCs w:val="24"/>
            <w:u w:val="single"/>
            <w:shd w:val="clear" w:color="auto" w:fill="FFFF99"/>
            <w:lang w:eastAsia="lt-LT"/>
          </w:rPr>
          <w:t>Europos Komisija vaizdžiai pristato 2018 m. asmens duomenų apsaugos naujoves</w:t>
        </w:r>
      </w:hyperlink>
    </w:p>
    <w:p w:rsidR="005F7D44" w:rsidRPr="005F7D44" w:rsidRDefault="005F7D44" w:rsidP="005F7D4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p>
    <w:p w:rsidR="005F7D44" w:rsidRPr="005F7D44" w:rsidRDefault="005F7D44" w:rsidP="005F7D4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p>
    <w:p w:rsidR="005F7D44" w:rsidRPr="005F7D44" w:rsidRDefault="005F7D44" w:rsidP="005F7D4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lt-LT"/>
        </w:rPr>
      </w:pPr>
      <w:r w:rsidRPr="005F7D44">
        <w:rPr>
          <w:rFonts w:ascii="Times New Roman" w:eastAsia="Times New Roman" w:hAnsi="Times New Roman" w:cs="Times New Roman"/>
          <w:b/>
          <w:bCs/>
          <w:color w:val="156D83"/>
          <w:sz w:val="24"/>
          <w:szCs w:val="24"/>
          <w:lang w:eastAsia="lt-LT"/>
        </w:rPr>
        <w:t>REFORMOS TEISĖS AKTAI</w:t>
      </w:r>
    </w:p>
    <w:p w:rsidR="005F7D44" w:rsidRPr="005F7D44" w:rsidRDefault="005F7D44" w:rsidP="005F7D44">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lt-LT"/>
        </w:rPr>
      </w:pPr>
      <w:r w:rsidRPr="005F7D44">
        <w:rPr>
          <w:rFonts w:ascii="Times New Roman" w:eastAsia="Times New Roman" w:hAnsi="Times New Roman" w:cs="Times New Roman"/>
          <w:color w:val="000000"/>
          <w:sz w:val="24"/>
          <w:szCs w:val="24"/>
          <w:lang w:eastAsia="lt-LT"/>
        </w:rPr>
        <w:t>2016-ųjų pavasarį Europos Parlamentas priėmė šiuos teisės aktus:</w:t>
      </w:r>
    </w:p>
    <w:p w:rsidR="005F7D44" w:rsidRPr="00F67B7E" w:rsidRDefault="005F7D44" w:rsidP="005F7D4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F67B7E">
        <w:rPr>
          <w:rFonts w:ascii="Times New Roman" w:eastAsia="Times New Roman" w:hAnsi="Times New Roman" w:cs="Times New Roman"/>
          <w:color w:val="000000"/>
          <w:sz w:val="24"/>
          <w:szCs w:val="24"/>
          <w:lang w:eastAsia="lt-LT"/>
        </w:rPr>
        <w:t>2016 m. balandžio 27 d. Europos Parlamento ir Tarybos reglamentas (ES) 2016/679 dėl fizinių asmenų apsaugos tvarkant asmens duomenis ir dėl laisvo tokių duomenų judėjimo ir kuriuo panaikinama Direktyva 95/46/EB (Bendrasis duomenų apsaugos reglamentas) (toliau – </w:t>
      </w:r>
      <w:hyperlink r:id="rId7" w:tgtFrame="_blank" w:history="1">
        <w:r w:rsidRPr="00F67B7E">
          <w:rPr>
            <w:rFonts w:ascii="Times New Roman" w:eastAsia="Times New Roman" w:hAnsi="Times New Roman" w:cs="Times New Roman"/>
            <w:color w:val="0000FF"/>
            <w:sz w:val="24"/>
            <w:szCs w:val="24"/>
            <w:u w:val="single"/>
            <w:lang w:eastAsia="lt-LT"/>
          </w:rPr>
          <w:t>Reglamentas (ES) 2016/679</w:t>
        </w:r>
      </w:hyperlink>
      <w:r w:rsidRPr="00F67B7E">
        <w:rPr>
          <w:rFonts w:ascii="Times New Roman" w:eastAsia="Times New Roman" w:hAnsi="Times New Roman" w:cs="Times New Roman"/>
          <w:color w:val="000000"/>
          <w:sz w:val="24"/>
          <w:szCs w:val="24"/>
          <w:lang w:eastAsia="lt-LT"/>
        </w:rPr>
        <w:t>). Reglamentas (ES) 2016/679 yra tiesioginio taikymo Europos Sąjungos teisės aktas. Jis Lietuvoje, kaip ir kitose Europos Sąjungos valstybėse narėse, bus pradėtas taikyti nuo </w:t>
      </w:r>
      <w:r w:rsidRPr="00F67B7E">
        <w:rPr>
          <w:rFonts w:ascii="Times New Roman" w:eastAsia="Times New Roman" w:hAnsi="Times New Roman" w:cs="Times New Roman"/>
          <w:b/>
          <w:bCs/>
          <w:color w:val="000000"/>
          <w:sz w:val="24"/>
          <w:szCs w:val="24"/>
          <w:lang w:eastAsia="lt-LT"/>
        </w:rPr>
        <w:t>2018 m. gegužės 25 d. </w:t>
      </w:r>
    </w:p>
    <w:p w:rsidR="005F7D44" w:rsidRPr="005F7D44" w:rsidRDefault="005F7D44" w:rsidP="005F7D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t-LT"/>
        </w:rPr>
      </w:pPr>
    </w:p>
    <w:p w:rsidR="005F7D44" w:rsidRPr="005F7D44" w:rsidRDefault="00F67B7E" w:rsidP="005F7D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t-LT"/>
        </w:rPr>
      </w:pPr>
      <w:hyperlink r:id="rId8" w:tgtFrame="_blank" w:history="1">
        <w:r w:rsidR="005F7D44" w:rsidRPr="005F7D44">
          <w:rPr>
            <w:rFonts w:ascii="Times New Roman" w:eastAsia="Times New Roman" w:hAnsi="Times New Roman" w:cs="Times New Roman"/>
            <w:b/>
            <w:bCs/>
            <w:color w:val="0000FF"/>
            <w:sz w:val="24"/>
            <w:szCs w:val="24"/>
            <w:u w:val="single"/>
            <w:shd w:val="clear" w:color="auto" w:fill="FFCC00"/>
            <w:lang w:eastAsia="lt-LT"/>
          </w:rPr>
          <w:t>Dėmesio! </w:t>
        </w:r>
      </w:hyperlink>
      <w:hyperlink r:id="rId9" w:tgtFrame="_blank" w:history="1">
        <w:r w:rsidR="005F7D44" w:rsidRPr="005F7D44">
          <w:rPr>
            <w:rFonts w:ascii="Times New Roman" w:eastAsia="Times New Roman" w:hAnsi="Times New Roman" w:cs="Times New Roman"/>
            <w:b/>
            <w:bCs/>
            <w:color w:val="0000FF"/>
            <w:sz w:val="24"/>
            <w:szCs w:val="24"/>
            <w:u w:val="single"/>
            <w:shd w:val="clear" w:color="auto" w:fill="FFCC00"/>
            <w:lang w:eastAsia="lt-LT"/>
          </w:rPr>
          <w:t>Bend</w:t>
        </w:r>
        <w:r w:rsidR="005F7D44" w:rsidRPr="005F7D44">
          <w:rPr>
            <w:rFonts w:ascii="Times New Roman" w:eastAsia="Times New Roman" w:hAnsi="Times New Roman" w:cs="Times New Roman"/>
            <w:b/>
            <w:bCs/>
            <w:color w:val="0000FF"/>
            <w:sz w:val="24"/>
            <w:szCs w:val="24"/>
            <w:u w:val="single"/>
            <w:shd w:val="clear" w:color="auto" w:fill="FFCC00"/>
            <w:lang w:eastAsia="lt-LT"/>
          </w:rPr>
          <w:t>r</w:t>
        </w:r>
        <w:r w:rsidR="005F7D44" w:rsidRPr="005F7D44">
          <w:rPr>
            <w:rFonts w:ascii="Times New Roman" w:eastAsia="Times New Roman" w:hAnsi="Times New Roman" w:cs="Times New Roman"/>
            <w:b/>
            <w:bCs/>
            <w:color w:val="0000FF"/>
            <w:sz w:val="24"/>
            <w:szCs w:val="24"/>
            <w:u w:val="single"/>
            <w:shd w:val="clear" w:color="auto" w:fill="FFCC00"/>
            <w:lang w:eastAsia="lt-LT"/>
          </w:rPr>
          <w:t>asis duomenų apsaugos reglamentas patogus skaityti lietuviškai</w:t>
        </w:r>
      </w:hyperlink>
    </w:p>
    <w:p w:rsidR="005F7D44" w:rsidRPr="005F7D44" w:rsidRDefault="00F67B7E" w:rsidP="005F7D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t-LT"/>
        </w:rPr>
      </w:pPr>
      <w:hyperlink r:id="rId10" w:tgtFrame="_blank" w:history="1">
        <w:r w:rsidR="005F7D44" w:rsidRPr="005F7D44">
          <w:rPr>
            <w:rFonts w:ascii="Times New Roman" w:eastAsia="Times New Roman" w:hAnsi="Times New Roman" w:cs="Times New Roman"/>
            <w:b/>
            <w:bCs/>
            <w:color w:val="0000FF"/>
            <w:sz w:val="24"/>
            <w:szCs w:val="24"/>
            <w:u w:val="single"/>
            <w:shd w:val="clear" w:color="auto" w:fill="FFCC00"/>
            <w:lang w:eastAsia="lt-LT"/>
          </w:rPr>
          <w:t>Reglamen</w:t>
        </w:r>
        <w:r w:rsidR="005F7D44" w:rsidRPr="005F7D44">
          <w:rPr>
            <w:rFonts w:ascii="Times New Roman" w:eastAsia="Times New Roman" w:hAnsi="Times New Roman" w:cs="Times New Roman"/>
            <w:b/>
            <w:bCs/>
            <w:color w:val="0000FF"/>
            <w:sz w:val="24"/>
            <w:szCs w:val="24"/>
            <w:u w:val="single"/>
            <w:shd w:val="clear" w:color="auto" w:fill="FFCC00"/>
            <w:lang w:eastAsia="lt-LT"/>
          </w:rPr>
          <w:t>t</w:t>
        </w:r>
        <w:r w:rsidR="005F7D44" w:rsidRPr="005F7D44">
          <w:rPr>
            <w:rFonts w:ascii="Times New Roman" w:eastAsia="Times New Roman" w:hAnsi="Times New Roman" w:cs="Times New Roman"/>
            <w:b/>
            <w:bCs/>
            <w:color w:val="0000FF"/>
            <w:sz w:val="24"/>
            <w:szCs w:val="24"/>
            <w:u w:val="single"/>
            <w:shd w:val="clear" w:color="auto" w:fill="FFCC00"/>
            <w:lang w:eastAsia="lt-LT"/>
          </w:rPr>
          <w:t>as lietuviškai</w:t>
        </w:r>
      </w:hyperlink>
      <w:r w:rsidR="005F7D44" w:rsidRPr="005F7D44">
        <w:rPr>
          <w:rFonts w:ascii="Times New Roman" w:eastAsia="Times New Roman" w:hAnsi="Times New Roman" w:cs="Times New Roman"/>
          <w:b/>
          <w:bCs/>
          <w:color w:val="000000"/>
          <w:sz w:val="24"/>
          <w:szCs w:val="24"/>
          <w:shd w:val="clear" w:color="auto" w:fill="FFFF99"/>
          <w:lang w:eastAsia="lt-LT"/>
        </w:rPr>
        <w:t> </w:t>
      </w:r>
    </w:p>
    <w:p w:rsidR="005F7D44" w:rsidRDefault="00F67B7E" w:rsidP="005F7D44">
      <w:pPr>
        <w:shd w:val="clear" w:color="auto" w:fill="FFFFFF"/>
        <w:spacing w:before="100" w:beforeAutospacing="1" w:after="100" w:afterAutospacing="1" w:line="240" w:lineRule="auto"/>
        <w:rPr>
          <w:rFonts w:ascii="Times New Roman" w:eastAsia="Times New Roman" w:hAnsi="Times New Roman" w:cs="Times New Roman"/>
          <w:color w:val="FF6600"/>
          <w:sz w:val="24"/>
          <w:szCs w:val="24"/>
          <w:lang w:eastAsia="lt-LT"/>
        </w:rPr>
      </w:pPr>
      <w:hyperlink r:id="rId11" w:tgtFrame="_blank" w:history="1">
        <w:r w:rsidR="005F7D44" w:rsidRPr="005F7D44">
          <w:rPr>
            <w:rFonts w:ascii="Times New Roman" w:eastAsia="Times New Roman" w:hAnsi="Times New Roman" w:cs="Times New Roman"/>
            <w:b/>
            <w:bCs/>
            <w:color w:val="0000FF"/>
            <w:sz w:val="24"/>
            <w:szCs w:val="24"/>
            <w:u w:val="single"/>
            <w:shd w:val="clear" w:color="auto" w:fill="FFCC00"/>
            <w:lang w:eastAsia="lt-LT"/>
          </w:rPr>
          <w:t>Reglamentas angliškai</w:t>
        </w:r>
      </w:hyperlink>
      <w:r w:rsidR="005F7D44" w:rsidRPr="005F7D44">
        <w:rPr>
          <w:rFonts w:ascii="Times New Roman" w:eastAsia="Times New Roman" w:hAnsi="Times New Roman" w:cs="Times New Roman"/>
          <w:b/>
          <w:bCs/>
          <w:color w:val="000000"/>
          <w:sz w:val="24"/>
          <w:szCs w:val="24"/>
          <w:shd w:val="clear" w:color="auto" w:fill="FFCC00"/>
          <w:lang w:eastAsia="lt-LT"/>
        </w:rPr>
        <w:t> </w:t>
      </w:r>
      <w:r w:rsidR="005F7D44" w:rsidRPr="005F7D44">
        <w:rPr>
          <w:rFonts w:ascii="Times New Roman" w:eastAsia="Times New Roman" w:hAnsi="Times New Roman" w:cs="Times New Roman"/>
          <w:color w:val="FF6600"/>
          <w:sz w:val="24"/>
          <w:szCs w:val="24"/>
          <w:shd w:val="clear" w:color="auto" w:fill="FFCC00"/>
          <w:lang w:eastAsia="lt-LT"/>
        </w:rPr>
        <w:t>  </w:t>
      </w:r>
      <w:r w:rsidR="005F7D44" w:rsidRPr="005F7D44">
        <w:rPr>
          <w:rFonts w:ascii="Times New Roman" w:eastAsia="Times New Roman" w:hAnsi="Times New Roman" w:cs="Times New Roman"/>
          <w:color w:val="FF6600"/>
          <w:sz w:val="24"/>
          <w:szCs w:val="24"/>
          <w:lang w:eastAsia="lt-LT"/>
        </w:rPr>
        <w:t>  </w:t>
      </w:r>
    </w:p>
    <w:p w:rsidR="005F7D44" w:rsidRPr="00F67B7E" w:rsidRDefault="00895EA6" w:rsidP="005F7D44">
      <w:pPr>
        <w:shd w:val="clear" w:color="auto" w:fill="FFFFFF"/>
        <w:spacing w:before="100" w:beforeAutospacing="1" w:after="100" w:afterAutospacing="1" w:line="240" w:lineRule="auto"/>
        <w:rPr>
          <w:rFonts w:ascii="Times New Roman" w:eastAsia="Times New Roman" w:hAnsi="Times New Roman" w:cs="Times New Roman"/>
          <w:b/>
          <w:color w:val="FF6600"/>
          <w:sz w:val="24"/>
          <w:szCs w:val="24"/>
          <w:lang w:eastAsia="lt-LT"/>
        </w:rPr>
      </w:pPr>
      <w:hyperlink r:id="rId12" w:history="1">
        <w:r w:rsidRPr="00F67B7E">
          <w:rPr>
            <w:rStyle w:val="Hipersaitas"/>
            <w:rFonts w:ascii="Times New Roman" w:eastAsia="Times New Roman" w:hAnsi="Times New Roman" w:cs="Times New Roman"/>
            <w:b/>
            <w:sz w:val="24"/>
            <w:szCs w:val="24"/>
            <w:lang w:eastAsia="lt-LT"/>
          </w:rPr>
          <w:t>Asmens duomenų apsaugos reforma</w:t>
        </w:r>
      </w:hyperlink>
    </w:p>
    <w:p w:rsidR="00895EA6" w:rsidRPr="00895EA6" w:rsidRDefault="00895EA6" w:rsidP="00895E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895EA6">
        <w:rPr>
          <w:rFonts w:ascii="Times New Roman" w:eastAsia="Times New Roman" w:hAnsi="Times New Roman" w:cs="Times New Roman"/>
          <w:b/>
          <w:bCs/>
          <w:color w:val="000000"/>
          <w:sz w:val="24"/>
          <w:szCs w:val="24"/>
          <w:lang w:eastAsia="lt-LT"/>
        </w:rPr>
        <w:t>Reglamente (ES) 2016/679 numatyti svarbiausi pasikeitimai:</w:t>
      </w:r>
    </w:p>
    <w:p w:rsidR="00895EA6" w:rsidRPr="00895EA6" w:rsidRDefault="00895EA6" w:rsidP="00F67B7E">
      <w:pPr>
        <w:shd w:val="clear" w:color="auto" w:fill="FFFFFF"/>
        <w:spacing w:before="100" w:beforeAutospacing="1" w:after="240" w:line="240" w:lineRule="auto"/>
        <w:rPr>
          <w:rFonts w:ascii="Times New Roman" w:eastAsia="Times New Roman" w:hAnsi="Times New Roman" w:cs="Times New Roman"/>
          <w:color w:val="000000"/>
          <w:sz w:val="24"/>
          <w:szCs w:val="24"/>
          <w:lang w:eastAsia="lt-LT"/>
        </w:rPr>
      </w:pPr>
      <w:r w:rsidRPr="00895EA6">
        <w:rPr>
          <w:rFonts w:ascii="Times New Roman" w:eastAsia="Times New Roman" w:hAnsi="Times New Roman" w:cs="Times New Roman"/>
          <w:b/>
          <w:bCs/>
          <w:color w:val="000000"/>
          <w:sz w:val="24"/>
          <w:szCs w:val="24"/>
          <w:lang w:eastAsia="lt-LT"/>
        </w:rPr>
        <w:t>1. Reglamento svarbiausi pakeitimai susiję su trimis asmens duomenų apsaugos reformos tikslais:</w:t>
      </w:r>
      <w:r w:rsidRPr="00895EA6">
        <w:rPr>
          <w:rFonts w:ascii="Times New Roman" w:eastAsia="Times New Roman" w:hAnsi="Times New Roman" w:cs="Times New Roman"/>
          <w:color w:val="000000"/>
          <w:sz w:val="24"/>
          <w:szCs w:val="24"/>
          <w:lang w:eastAsia="lt-LT"/>
        </w:rPr>
        <w:br/>
        <w:t>- Duomenų subjektų teisių stiprinimas;</w:t>
      </w:r>
      <w:r w:rsidRPr="00895EA6">
        <w:rPr>
          <w:rFonts w:ascii="Times New Roman" w:eastAsia="Times New Roman" w:hAnsi="Times New Roman" w:cs="Times New Roman"/>
          <w:color w:val="000000"/>
          <w:sz w:val="24"/>
          <w:szCs w:val="24"/>
          <w:lang w:eastAsia="lt-LT"/>
        </w:rPr>
        <w:br/>
        <w:t xml:space="preserve">- Duomenų tvarkytojų ir duomenų </w:t>
      </w:r>
      <w:proofErr w:type="spellStart"/>
      <w:r w:rsidRPr="00895EA6">
        <w:rPr>
          <w:rFonts w:ascii="Times New Roman" w:eastAsia="Times New Roman" w:hAnsi="Times New Roman" w:cs="Times New Roman"/>
          <w:color w:val="000000"/>
          <w:sz w:val="24"/>
          <w:szCs w:val="24"/>
          <w:lang w:eastAsia="lt-LT"/>
        </w:rPr>
        <w:t>subtvarkytojų</w:t>
      </w:r>
      <w:proofErr w:type="spellEnd"/>
      <w:r w:rsidRPr="00895EA6">
        <w:rPr>
          <w:rFonts w:ascii="Times New Roman" w:eastAsia="Times New Roman" w:hAnsi="Times New Roman" w:cs="Times New Roman"/>
          <w:color w:val="000000"/>
          <w:sz w:val="24"/>
          <w:szCs w:val="24"/>
          <w:lang w:eastAsia="lt-LT"/>
        </w:rPr>
        <w:t xml:space="preserve"> atsakomybės nustatymas;</w:t>
      </w:r>
      <w:r w:rsidRPr="00895EA6">
        <w:rPr>
          <w:rFonts w:ascii="Times New Roman" w:eastAsia="Times New Roman" w:hAnsi="Times New Roman" w:cs="Times New Roman"/>
          <w:color w:val="000000"/>
          <w:sz w:val="24"/>
          <w:szCs w:val="24"/>
          <w:lang w:eastAsia="lt-LT"/>
        </w:rPr>
        <w:br/>
        <w:t>- Reguliavimo skaidrumas ir patikimumas.</w:t>
      </w:r>
    </w:p>
    <w:p w:rsidR="00895EA6" w:rsidRPr="00895EA6" w:rsidRDefault="00895EA6" w:rsidP="00F67B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t-LT"/>
        </w:rPr>
      </w:pPr>
      <w:r w:rsidRPr="00895EA6">
        <w:rPr>
          <w:rFonts w:ascii="Times New Roman" w:eastAsia="Times New Roman" w:hAnsi="Times New Roman" w:cs="Times New Roman"/>
          <w:b/>
          <w:bCs/>
          <w:color w:val="000000"/>
          <w:sz w:val="24"/>
          <w:szCs w:val="24"/>
          <w:lang w:eastAsia="lt-LT"/>
        </w:rPr>
        <w:t>2. Įtvirtinamos naujos duomenų subjekto teisės:</w:t>
      </w:r>
      <w:r w:rsidRPr="00895EA6">
        <w:rPr>
          <w:rFonts w:ascii="Times New Roman" w:eastAsia="Times New Roman" w:hAnsi="Times New Roman" w:cs="Times New Roman"/>
          <w:color w:val="000000"/>
          <w:sz w:val="24"/>
          <w:szCs w:val="24"/>
          <w:lang w:eastAsia="lt-LT"/>
        </w:rPr>
        <w:br/>
        <w:t>-</w:t>
      </w:r>
      <w:r w:rsidRPr="00895EA6">
        <w:rPr>
          <w:rFonts w:ascii="Times New Roman" w:eastAsia="Times New Roman" w:hAnsi="Times New Roman" w:cs="Times New Roman"/>
          <w:color w:val="FF0000"/>
          <w:sz w:val="24"/>
          <w:szCs w:val="24"/>
          <w:lang w:eastAsia="lt-LT"/>
        </w:rPr>
        <w:t xml:space="preserve"> Teisė į duomenų </w:t>
      </w:r>
      <w:proofErr w:type="spellStart"/>
      <w:r w:rsidRPr="00895EA6">
        <w:rPr>
          <w:rFonts w:ascii="Times New Roman" w:eastAsia="Times New Roman" w:hAnsi="Times New Roman" w:cs="Times New Roman"/>
          <w:color w:val="FF0000"/>
          <w:sz w:val="24"/>
          <w:szCs w:val="24"/>
          <w:lang w:eastAsia="lt-LT"/>
        </w:rPr>
        <w:t>perkeliamumą</w:t>
      </w:r>
      <w:proofErr w:type="spellEnd"/>
      <w:r w:rsidRPr="00895EA6">
        <w:rPr>
          <w:rFonts w:ascii="Times New Roman" w:eastAsia="Times New Roman" w:hAnsi="Times New Roman" w:cs="Times New Roman"/>
          <w:color w:val="000000"/>
          <w:sz w:val="24"/>
          <w:szCs w:val="24"/>
          <w:lang w:eastAsia="lt-LT"/>
        </w:rPr>
        <w:t xml:space="preserve"> (duomenų subjektas turės teisę gauti susijusius su juo asmens duomenis, kuriuos jis pateikė duomenų valdytojui susistemintu, įprastai naudojamu ir kompiuterio </w:t>
      </w:r>
      <w:r w:rsidRPr="00895EA6">
        <w:rPr>
          <w:rFonts w:ascii="Times New Roman" w:eastAsia="Times New Roman" w:hAnsi="Times New Roman" w:cs="Times New Roman"/>
          <w:color w:val="000000"/>
          <w:sz w:val="24"/>
          <w:szCs w:val="24"/>
          <w:lang w:eastAsia="lt-LT"/>
        </w:rPr>
        <w:lastRenderedPageBreak/>
        <w:t>skaitomu formatu, ir persiųsti tuos duomenis kitam duomenų valdytojui);</w:t>
      </w:r>
      <w:r w:rsidRPr="00895EA6">
        <w:rPr>
          <w:rFonts w:ascii="Times New Roman" w:eastAsia="Times New Roman" w:hAnsi="Times New Roman" w:cs="Times New Roman"/>
          <w:color w:val="000000"/>
          <w:sz w:val="24"/>
          <w:szCs w:val="24"/>
          <w:lang w:eastAsia="lt-LT"/>
        </w:rPr>
        <w:br/>
        <w:t>- </w:t>
      </w:r>
      <w:r w:rsidRPr="00895EA6">
        <w:rPr>
          <w:rFonts w:ascii="Times New Roman" w:eastAsia="Times New Roman" w:hAnsi="Times New Roman" w:cs="Times New Roman"/>
          <w:color w:val="FF0000"/>
          <w:sz w:val="24"/>
          <w:szCs w:val="24"/>
          <w:lang w:eastAsia="lt-LT"/>
        </w:rPr>
        <w:t>Teisė būti pamirštam</w:t>
      </w:r>
      <w:r w:rsidRPr="00895EA6">
        <w:rPr>
          <w:rFonts w:ascii="Times New Roman" w:eastAsia="Times New Roman" w:hAnsi="Times New Roman" w:cs="Times New Roman"/>
          <w:color w:val="000000"/>
          <w:sz w:val="24"/>
          <w:szCs w:val="24"/>
          <w:lang w:eastAsia="lt-LT"/>
        </w:rPr>
        <w:t>.</w:t>
      </w:r>
    </w:p>
    <w:p w:rsidR="00895EA6" w:rsidRPr="00895EA6" w:rsidRDefault="00895EA6" w:rsidP="00895EA6">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lt-LT"/>
        </w:rPr>
      </w:pPr>
      <w:r w:rsidRPr="00895EA6">
        <w:rPr>
          <w:rFonts w:ascii="Times New Roman" w:eastAsia="Times New Roman" w:hAnsi="Times New Roman" w:cs="Times New Roman"/>
          <w:b/>
          <w:bCs/>
          <w:color w:val="000000"/>
          <w:sz w:val="24"/>
          <w:szCs w:val="24"/>
          <w:lang w:eastAsia="lt-LT"/>
        </w:rPr>
        <w:t>3. Įtvirtinamas duomenų subjektų atstovavimas</w:t>
      </w:r>
      <w:r w:rsidRPr="00895EA6">
        <w:rPr>
          <w:rFonts w:ascii="Times New Roman" w:eastAsia="Times New Roman" w:hAnsi="Times New Roman" w:cs="Times New Roman"/>
          <w:color w:val="000000"/>
          <w:sz w:val="24"/>
          <w:szCs w:val="24"/>
          <w:lang w:eastAsia="lt-LT"/>
        </w:rPr>
        <w:t> – duomenų subjektas turi teisę įgalioti ne pelno įstaigą, organizaciją ar asociaciją, kuri tinkamai įsteigta pagal valstybės narės teisę ir kurios įstatais nustatyti tikslai atitinka viešąjį interesą, kuri veikia duomenų subjekto teisių bei laisvių apsaugos srityje, kiek tai susiję su jų asmens duomenų apsauga, jo vardu pateikti skundą ir jo vardu naudotis jam tam tikromis Reglamente numatytomis teisėmis.</w:t>
      </w:r>
    </w:p>
    <w:p w:rsidR="00895EA6" w:rsidRPr="00895EA6" w:rsidRDefault="00895EA6" w:rsidP="00895EA6">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lt-LT"/>
        </w:rPr>
      </w:pPr>
      <w:r w:rsidRPr="00895EA6">
        <w:rPr>
          <w:rFonts w:ascii="Times New Roman" w:eastAsia="Times New Roman" w:hAnsi="Times New Roman" w:cs="Times New Roman"/>
          <w:b/>
          <w:bCs/>
          <w:color w:val="000000"/>
          <w:sz w:val="24"/>
          <w:szCs w:val="24"/>
          <w:lang w:eastAsia="lt-LT"/>
        </w:rPr>
        <w:t>4. Sugriežtinami sutikimo reikalavimai</w:t>
      </w:r>
      <w:r w:rsidRPr="00895EA6">
        <w:rPr>
          <w:rFonts w:ascii="Times New Roman" w:eastAsia="Times New Roman" w:hAnsi="Times New Roman" w:cs="Times New Roman"/>
          <w:color w:val="000000"/>
          <w:sz w:val="24"/>
          <w:szCs w:val="24"/>
          <w:lang w:eastAsia="lt-LT"/>
        </w:rPr>
        <w:t> – numatoma, kad, kai duomenys tvarkomi gavus duomenų subjekto sutikimą, duomenų valdytojas turi galėti įrodyti, kad duomenų subjektas sutiko su duomenų tvarkymo operacija. Apsaugos priemonėmis turi būti užtikrinama, kad duomenų subjektas suvoktų, kad jis duoda sutikimą ir dėl ko jis jį duoda. Duomenų valdytojo iš anksto suformuluotas sutikimo pareiškimas turi būti pateiktas suprantama ir lengvai prieinama forma, aiškiai ir paprasta kalba, jame neturėtų būti nesąžiningų sąlygų. Sutikimas neturi būti dviprasmiškas.</w:t>
      </w:r>
    </w:p>
    <w:p w:rsidR="00895EA6" w:rsidRPr="00895EA6" w:rsidRDefault="00895EA6" w:rsidP="00895EA6">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lt-LT"/>
        </w:rPr>
      </w:pPr>
      <w:r w:rsidRPr="00895EA6">
        <w:rPr>
          <w:rFonts w:ascii="Times New Roman" w:eastAsia="Times New Roman" w:hAnsi="Times New Roman" w:cs="Times New Roman"/>
          <w:b/>
          <w:bCs/>
          <w:color w:val="000000"/>
          <w:sz w:val="24"/>
          <w:szCs w:val="24"/>
          <w:lang w:eastAsia="lt-LT"/>
        </w:rPr>
        <w:t xml:space="preserve">5. Pirmą kartą Europos Sąjungos teisėje reglamentuojamas nepilnamečio iki 16 m. asmens duomenų </w:t>
      </w:r>
      <w:proofErr w:type="spellStart"/>
      <w:r w:rsidRPr="00895EA6">
        <w:rPr>
          <w:rFonts w:ascii="Times New Roman" w:eastAsia="Times New Roman" w:hAnsi="Times New Roman" w:cs="Times New Roman"/>
          <w:b/>
          <w:bCs/>
          <w:color w:val="000000"/>
          <w:sz w:val="24"/>
          <w:szCs w:val="24"/>
          <w:lang w:eastAsia="lt-LT"/>
        </w:rPr>
        <w:t>tvarkymas.</w:t>
      </w:r>
      <w:r w:rsidRPr="00895EA6">
        <w:rPr>
          <w:rFonts w:ascii="Times New Roman" w:eastAsia="Times New Roman" w:hAnsi="Times New Roman" w:cs="Times New Roman"/>
          <w:color w:val="000000"/>
          <w:sz w:val="24"/>
          <w:szCs w:val="24"/>
          <w:lang w:eastAsia="lt-LT"/>
        </w:rPr>
        <w:t>Nustatyta</w:t>
      </w:r>
      <w:proofErr w:type="spellEnd"/>
      <w:r w:rsidRPr="00895EA6">
        <w:rPr>
          <w:rFonts w:ascii="Times New Roman" w:eastAsia="Times New Roman" w:hAnsi="Times New Roman" w:cs="Times New Roman"/>
          <w:color w:val="000000"/>
          <w:sz w:val="24"/>
          <w:szCs w:val="24"/>
          <w:lang w:eastAsia="lt-LT"/>
        </w:rPr>
        <w:t>, kad kai </w:t>
      </w:r>
      <w:r w:rsidRPr="00895EA6">
        <w:rPr>
          <w:rFonts w:ascii="Times New Roman" w:eastAsia="Times New Roman" w:hAnsi="Times New Roman" w:cs="Times New Roman"/>
          <w:color w:val="FF0000"/>
          <w:sz w:val="24"/>
          <w:szCs w:val="24"/>
          <w:lang w:eastAsia="lt-LT"/>
        </w:rPr>
        <w:t>vaikas yra jaunesnis negu 16 metų</w:t>
      </w:r>
      <w:r w:rsidRPr="00895EA6">
        <w:rPr>
          <w:rFonts w:ascii="Times New Roman" w:eastAsia="Times New Roman" w:hAnsi="Times New Roman" w:cs="Times New Roman"/>
          <w:color w:val="000000"/>
          <w:sz w:val="24"/>
          <w:szCs w:val="24"/>
          <w:lang w:eastAsia="lt-LT"/>
        </w:rPr>
        <w:t>, toks tvarkymas yra teisėtas tik tuo atveju, jeigu tą sutikimą davė arba tvarkyti duomenis leido vaiko tėvų pareigų turėtojas, ir tokiu mastu, kokiu duotas toks sutikimas ar leidimas. Vaikui tapus suaugusiu, jis turi teisę sutikimą atšaukti ir reikalauti duomenis sunaikinti.</w:t>
      </w:r>
    </w:p>
    <w:p w:rsidR="00895EA6" w:rsidRPr="00895EA6" w:rsidRDefault="00895EA6" w:rsidP="00895E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895EA6">
        <w:rPr>
          <w:rFonts w:ascii="Times New Roman" w:eastAsia="Times New Roman" w:hAnsi="Times New Roman" w:cs="Times New Roman"/>
          <w:b/>
          <w:bCs/>
          <w:color w:val="000000"/>
          <w:sz w:val="24"/>
          <w:szCs w:val="24"/>
          <w:lang w:eastAsia="lt-LT"/>
        </w:rPr>
        <w:t>6. Reglamentas yra tiesioginio taikymo teisės aktas</w:t>
      </w:r>
      <w:r w:rsidRPr="00895EA6">
        <w:rPr>
          <w:rFonts w:ascii="Times New Roman" w:eastAsia="Times New Roman" w:hAnsi="Times New Roman" w:cs="Times New Roman"/>
          <w:color w:val="000000"/>
          <w:sz w:val="24"/>
          <w:szCs w:val="24"/>
          <w:lang w:eastAsia="lt-LT"/>
        </w:rPr>
        <w:t>, todėl nuo 2018 m. gegužės 25 d. duomenų tvarkymas Lietuvoje turės atitikti Reglamente nustatytą teisinį reguliavimą ir kiekvienas duomenų valdytojas turi pats pasirūpinti, kad būtų atnaujinti reikiami vidiniai asmens duomenų tvarkymo dokumentai, atsižvelgiant į Reglamente nurodytus reikalavimus.</w:t>
      </w:r>
    </w:p>
    <w:p w:rsidR="00895EA6" w:rsidRPr="00895EA6" w:rsidRDefault="00895EA6" w:rsidP="00895EA6">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lt-LT"/>
        </w:rPr>
      </w:pPr>
      <w:r w:rsidRPr="00895EA6">
        <w:rPr>
          <w:rFonts w:ascii="Times New Roman" w:eastAsia="Times New Roman" w:hAnsi="Times New Roman" w:cs="Times New Roman"/>
          <w:b/>
          <w:bCs/>
          <w:color w:val="000000"/>
          <w:sz w:val="24"/>
          <w:szCs w:val="24"/>
          <w:lang w:eastAsia="lt-LT"/>
        </w:rPr>
        <w:t>7. Išplėsta teritorinė Reglamento taikymo sritis</w:t>
      </w:r>
      <w:r w:rsidRPr="00895EA6">
        <w:rPr>
          <w:rFonts w:ascii="Times New Roman" w:eastAsia="Times New Roman" w:hAnsi="Times New Roman" w:cs="Times New Roman"/>
          <w:color w:val="000000"/>
          <w:sz w:val="24"/>
          <w:szCs w:val="24"/>
          <w:lang w:eastAsia="lt-LT"/>
        </w:rPr>
        <w:t xml:space="preserve">, t. y. Reglamentas yra taikomas ne tik tuo atveju, kai asmens duomenis tvarko Europos Sąjungoje įsisteigęs duomenų valdytojas arba duomenų tvarkytojas, vykdydamas savo veiklą, bet ir tuo atveju, kai Europos Sąjungoje esančių duomenų subjektų asmens duomenis tvarko Europos Sąjungoje neįsisteigęs duomenų valdytojas arba duomenų tvarkytojas ir duomenų tvarkymo veikla susijusi su prekių arba paslaugų siūlymu duomenų subjektams Europos Sąjungoje arba elgesio, kai jie veikia Europos Sąjungoje, </w:t>
      </w:r>
      <w:proofErr w:type="spellStart"/>
      <w:r w:rsidRPr="00895EA6">
        <w:rPr>
          <w:rFonts w:ascii="Times New Roman" w:eastAsia="Times New Roman" w:hAnsi="Times New Roman" w:cs="Times New Roman"/>
          <w:color w:val="000000"/>
          <w:sz w:val="24"/>
          <w:szCs w:val="24"/>
          <w:lang w:eastAsia="lt-LT"/>
        </w:rPr>
        <w:t>stebėsena</w:t>
      </w:r>
      <w:proofErr w:type="spellEnd"/>
      <w:r w:rsidRPr="00895EA6">
        <w:rPr>
          <w:rFonts w:ascii="Times New Roman" w:eastAsia="Times New Roman" w:hAnsi="Times New Roman" w:cs="Times New Roman"/>
          <w:color w:val="000000"/>
          <w:sz w:val="24"/>
          <w:szCs w:val="24"/>
          <w:lang w:eastAsia="lt-LT"/>
        </w:rPr>
        <w:t>.</w:t>
      </w:r>
    </w:p>
    <w:p w:rsidR="00895EA6" w:rsidRPr="00895EA6" w:rsidRDefault="00895EA6" w:rsidP="00895EA6">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lt-LT"/>
        </w:rPr>
      </w:pPr>
      <w:r w:rsidRPr="00895EA6">
        <w:rPr>
          <w:rFonts w:ascii="Times New Roman" w:eastAsia="Times New Roman" w:hAnsi="Times New Roman" w:cs="Times New Roman"/>
          <w:b/>
          <w:bCs/>
          <w:color w:val="000000"/>
          <w:sz w:val="24"/>
          <w:szCs w:val="24"/>
          <w:lang w:eastAsia="lt-LT"/>
        </w:rPr>
        <w:t>8. Pagal naują reglamentavimą atsakomybė už asmens duomenų tvarkymą tenka duomenų valdytojams</w:t>
      </w:r>
      <w:r w:rsidRPr="00895EA6">
        <w:rPr>
          <w:rFonts w:ascii="Times New Roman" w:eastAsia="Times New Roman" w:hAnsi="Times New Roman" w:cs="Times New Roman"/>
          <w:color w:val="000000"/>
          <w:sz w:val="24"/>
          <w:szCs w:val="24"/>
          <w:lang w:eastAsia="lt-LT"/>
        </w:rPr>
        <w:t>, Reglamentas išplečia pareigų duomenų tvarkytojams ratą. Anksčiau už asmens duomenis buvo atsakingas duomenų valdytojas, o Reglamente numatyta, kad atsakomybę turės pagal susitarimą dalytis tiek duomenų valdytojas, tiek duomenų tvarkytojas.</w:t>
      </w:r>
    </w:p>
    <w:p w:rsidR="00895EA6" w:rsidRPr="00895EA6" w:rsidRDefault="00895EA6" w:rsidP="00895E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895EA6">
        <w:rPr>
          <w:rFonts w:ascii="Times New Roman" w:eastAsia="Times New Roman" w:hAnsi="Times New Roman" w:cs="Times New Roman"/>
          <w:b/>
          <w:bCs/>
          <w:color w:val="000000"/>
          <w:sz w:val="24"/>
          <w:szCs w:val="24"/>
          <w:lang w:eastAsia="lt-LT"/>
        </w:rPr>
        <w:t>9. Nustatomas „vieno langelio“ principas</w:t>
      </w:r>
      <w:r w:rsidRPr="00895EA6">
        <w:rPr>
          <w:rFonts w:ascii="Times New Roman" w:eastAsia="Times New Roman" w:hAnsi="Times New Roman" w:cs="Times New Roman"/>
          <w:color w:val="000000"/>
          <w:sz w:val="24"/>
          <w:szCs w:val="24"/>
          <w:lang w:eastAsia="lt-LT"/>
        </w:rPr>
        <w:t>, t. y. duomenų valdytojo arba duomenų tvarkytojo pagrindinės buveinės arba vienintelės buveinės priežiūros institucija turi kompetenciją veikti kaip vadovaujanti priežiūros institucija, kai tas duomenų valdytojas arba duomenų tvarkytojas vykdo tarpvalstybinį duomenų tvarkymą. Vadovaujanti priežiūros institucija yra vienintelė institucija, su kuria duomenų valdytojas arba duomenų tvarkytojas palaiko ryšius, kai jie vykdo tarpvalstybinį duomenų tvarkymą.</w:t>
      </w:r>
    </w:p>
    <w:p w:rsidR="00895EA6" w:rsidRPr="00895EA6" w:rsidRDefault="00895EA6" w:rsidP="00895E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895EA6">
        <w:rPr>
          <w:rFonts w:ascii="Times New Roman" w:eastAsia="Times New Roman" w:hAnsi="Times New Roman" w:cs="Times New Roman"/>
          <w:b/>
          <w:bCs/>
          <w:color w:val="000000"/>
          <w:sz w:val="24"/>
          <w:szCs w:val="24"/>
          <w:lang w:eastAsia="lt-LT"/>
        </w:rPr>
        <w:t>10. Stiprinamas priežiūros institucijų bendradarbiavimas</w:t>
      </w:r>
      <w:r w:rsidRPr="00895EA6">
        <w:rPr>
          <w:rFonts w:ascii="Times New Roman" w:eastAsia="Times New Roman" w:hAnsi="Times New Roman" w:cs="Times New Roman"/>
          <w:color w:val="000000"/>
          <w:sz w:val="24"/>
          <w:szCs w:val="24"/>
          <w:lang w:eastAsia="lt-LT"/>
        </w:rPr>
        <w:t xml:space="preserve">. Visais atvejais, kai bus atliekamas tarpvalstybinis duomenų tvarkymas, t. y. kai asmens duomenų tvarkymas lies kelių valstybių narių gyventojus, skirtingų šalių priežiūros institucijos bus kompetentingos spręsti dėl asmens duomenų </w:t>
      </w:r>
      <w:r w:rsidRPr="00895EA6">
        <w:rPr>
          <w:rFonts w:ascii="Times New Roman" w:eastAsia="Times New Roman" w:hAnsi="Times New Roman" w:cs="Times New Roman"/>
          <w:color w:val="000000"/>
          <w:sz w:val="24"/>
          <w:szCs w:val="24"/>
          <w:lang w:eastAsia="lt-LT"/>
        </w:rPr>
        <w:lastRenderedPageBreak/>
        <w:t>tvarkymo atitikimo Reglamentui. Siekiant užtikrinti vienodą praktiką, vadovaujanti priežiūros institucija bendradarbiaus su atitinkamų valstybių narių priežiūros institucijomis atliekant bendrus tyrimus, priimant bendrą sprendimą bei taikant sankcijas. Nustatoma pareiga vadovaujančiai priežiūros institucijai pateikti sprendimo projektą kitoms susijusioms priežiūros institucijoms, kad jos pateiktų savo nuomonę.  Susijusios priežiūros institucijos per keturias savaites turės pareikšti tinkamą ir pagrįstą prieštaravimą dėl sprendimo projekto arba jam pritarti. Jeigu į prieštaravimą nėra atsižvelgiama, klausimas toliau sprendžiamas </w:t>
      </w:r>
      <w:r w:rsidRPr="00895EA6">
        <w:rPr>
          <w:rFonts w:ascii="Times New Roman" w:eastAsia="Times New Roman" w:hAnsi="Times New Roman" w:cs="Times New Roman"/>
          <w:color w:val="FF0000"/>
          <w:sz w:val="24"/>
          <w:szCs w:val="24"/>
          <w:lang w:eastAsia="lt-LT"/>
        </w:rPr>
        <w:t>Europos duomenų apsaugos valdyboje</w:t>
      </w:r>
      <w:r w:rsidRPr="00895EA6">
        <w:rPr>
          <w:rFonts w:ascii="Times New Roman" w:eastAsia="Times New Roman" w:hAnsi="Times New Roman" w:cs="Times New Roman"/>
          <w:color w:val="000000"/>
          <w:sz w:val="24"/>
          <w:szCs w:val="24"/>
          <w:lang w:eastAsia="lt-LT"/>
        </w:rPr>
        <w:t>. Europos duomenų apsaugos valdybos sprendimas vadovaujančiai priežiūros institucijai yra privalomas. Nepriklausomai nuo to, ar buvo kreiptasi į Europos duomenų apsaugos valdybą ar ne, vadovaujančios priežiūros institucijos priimtas sprendimas, apie kurį informuojamos susijusios valstybių narių priežiūros institucijos, gali būti skundžiamas teismui.</w:t>
      </w:r>
    </w:p>
    <w:p w:rsidR="00895EA6" w:rsidRPr="00895EA6" w:rsidRDefault="00895EA6" w:rsidP="00895E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895EA6">
        <w:rPr>
          <w:rFonts w:ascii="Times New Roman" w:eastAsia="Times New Roman" w:hAnsi="Times New Roman" w:cs="Times New Roman"/>
          <w:b/>
          <w:bCs/>
          <w:color w:val="000000"/>
          <w:sz w:val="24"/>
          <w:szCs w:val="24"/>
          <w:lang w:eastAsia="lt-LT"/>
        </w:rPr>
        <w:t>11.  Reglamentas remiasi atitikties logika, kuri grindžiama duomenų valdytojų ir duomenų tvarkytojų skaidrumu ir atskaitomybe</w:t>
      </w:r>
      <w:r w:rsidRPr="00895EA6">
        <w:rPr>
          <w:rFonts w:ascii="Times New Roman" w:eastAsia="Times New Roman" w:hAnsi="Times New Roman" w:cs="Times New Roman"/>
          <w:color w:val="000000"/>
          <w:sz w:val="24"/>
          <w:szCs w:val="24"/>
          <w:lang w:eastAsia="lt-LT"/>
        </w:rPr>
        <w:t> (kitaip negu Direktyvoje 95/46/EB, kuri numatė atitiktis asmens duomenų tvarkymo teisiniam reguliavimui grindžiama tam tikrais išankstiniais formalumais (pranešimais, leidimais).</w:t>
      </w:r>
      <w:r w:rsidRPr="00895EA6">
        <w:rPr>
          <w:rFonts w:ascii="Times New Roman" w:eastAsia="Times New Roman" w:hAnsi="Times New Roman" w:cs="Times New Roman"/>
          <w:color w:val="000000"/>
          <w:sz w:val="24"/>
          <w:szCs w:val="24"/>
          <w:lang w:eastAsia="lt-LT"/>
        </w:rPr>
        <w:br/>
        <w:t>- Naujasis reguliavimas numato, kad duomenų valdytojas, prieš pradėdamas tvarkyti duomenis, atlieka numatytų duomenų tvarkymo operacijų </w:t>
      </w:r>
      <w:r w:rsidRPr="00895EA6">
        <w:rPr>
          <w:rFonts w:ascii="Times New Roman" w:eastAsia="Times New Roman" w:hAnsi="Times New Roman" w:cs="Times New Roman"/>
          <w:color w:val="FF0000"/>
          <w:sz w:val="24"/>
          <w:szCs w:val="24"/>
          <w:lang w:eastAsia="lt-LT"/>
        </w:rPr>
        <w:t>poveikio asmens duomenų apsaugai vertinimą</w:t>
      </w:r>
      <w:r w:rsidRPr="00895EA6">
        <w:rPr>
          <w:rFonts w:ascii="Times New Roman" w:eastAsia="Times New Roman" w:hAnsi="Times New Roman" w:cs="Times New Roman"/>
          <w:b/>
          <w:bCs/>
          <w:color w:val="FF6600"/>
          <w:sz w:val="24"/>
          <w:szCs w:val="24"/>
          <w:lang w:eastAsia="lt-LT"/>
        </w:rPr>
        <w:t> </w:t>
      </w:r>
      <w:r w:rsidRPr="00895EA6">
        <w:rPr>
          <w:rFonts w:ascii="Times New Roman" w:eastAsia="Times New Roman" w:hAnsi="Times New Roman" w:cs="Times New Roman"/>
          <w:color w:val="000000"/>
          <w:sz w:val="24"/>
          <w:szCs w:val="24"/>
          <w:lang w:eastAsia="lt-LT"/>
        </w:rPr>
        <w:t>(ypač tais atvejais, kai numatoma tvarkyti jautrius duomenis ar atlikti profiliavimą).</w:t>
      </w:r>
      <w:r w:rsidRPr="00895EA6">
        <w:rPr>
          <w:rFonts w:ascii="Times New Roman" w:eastAsia="Times New Roman" w:hAnsi="Times New Roman" w:cs="Times New Roman"/>
          <w:color w:val="000000"/>
          <w:sz w:val="24"/>
          <w:szCs w:val="24"/>
          <w:lang w:eastAsia="lt-LT"/>
        </w:rPr>
        <w:br/>
        <w:t>- Numatyta pareiga pranešti duomenų subjektui apie asmens duomenų saugumo pažeidimą.</w:t>
      </w:r>
      <w:r w:rsidRPr="00895EA6">
        <w:rPr>
          <w:rFonts w:ascii="Times New Roman" w:eastAsia="Times New Roman" w:hAnsi="Times New Roman" w:cs="Times New Roman"/>
          <w:color w:val="000000"/>
          <w:sz w:val="24"/>
          <w:szCs w:val="24"/>
          <w:lang w:eastAsia="lt-LT"/>
        </w:rPr>
        <w:br/>
        <w:t>- Tiek duomenų valdytojui, tiek duomenų tvarkytojui numatoma pareiga paskirti duomenų apsaugos pareigūną.</w:t>
      </w:r>
      <w:r w:rsidRPr="00895EA6">
        <w:rPr>
          <w:rFonts w:ascii="Times New Roman" w:eastAsia="Times New Roman" w:hAnsi="Times New Roman" w:cs="Times New Roman"/>
          <w:color w:val="000000"/>
          <w:sz w:val="24"/>
          <w:szCs w:val="24"/>
          <w:lang w:eastAsia="lt-LT"/>
        </w:rPr>
        <w:br/>
        <w:t>- Reglamentas taip pat numato tokius naujus atitikties vertinimo kriterijus kaip elgesio kodeksų laikymasis bei sertifikavimą.</w:t>
      </w:r>
      <w:r w:rsidRPr="00895EA6">
        <w:rPr>
          <w:rFonts w:ascii="Times New Roman" w:eastAsia="Times New Roman" w:hAnsi="Times New Roman" w:cs="Times New Roman"/>
          <w:color w:val="000000"/>
          <w:sz w:val="24"/>
          <w:szCs w:val="24"/>
          <w:lang w:eastAsia="lt-LT"/>
        </w:rPr>
        <w:br/>
        <w:t>- Reglamente numatomos </w:t>
      </w:r>
      <w:r w:rsidRPr="00895EA6">
        <w:rPr>
          <w:rFonts w:ascii="Times New Roman" w:eastAsia="Times New Roman" w:hAnsi="Times New Roman" w:cs="Times New Roman"/>
          <w:color w:val="FF0000"/>
          <w:sz w:val="24"/>
          <w:szCs w:val="24"/>
          <w:lang w:eastAsia="lt-LT"/>
        </w:rPr>
        <w:t>išankstinės konsultacijos </w:t>
      </w:r>
      <w:r w:rsidRPr="00895EA6">
        <w:rPr>
          <w:rFonts w:ascii="Times New Roman" w:eastAsia="Times New Roman" w:hAnsi="Times New Roman" w:cs="Times New Roman"/>
          <w:color w:val="000000"/>
          <w:sz w:val="24"/>
          <w:szCs w:val="24"/>
          <w:lang w:eastAsia="lt-LT"/>
        </w:rPr>
        <w:t>tais atvejais, kai duomenų valdytojas, atlikęs poveikio duomenų apsaugai vertinimą, nustato, kad tvarkant duomenis kiltų didelis pavojus, jei duomenų valdytojas nesiimtų priemonių pavojui sumažinti.</w:t>
      </w:r>
    </w:p>
    <w:p w:rsidR="00895EA6" w:rsidRPr="00895EA6" w:rsidRDefault="00895EA6" w:rsidP="00895E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895EA6">
        <w:rPr>
          <w:rFonts w:ascii="Times New Roman" w:eastAsia="Times New Roman" w:hAnsi="Times New Roman" w:cs="Times New Roman"/>
          <w:b/>
          <w:bCs/>
          <w:color w:val="000000"/>
          <w:sz w:val="24"/>
          <w:szCs w:val="24"/>
          <w:lang w:eastAsia="lt-LT"/>
        </w:rPr>
        <w:t>12. Reglamentas numato pareigą rengiantiems pasiūlymus dėl teisėkūros priemonių, kurias priima nacionalinis parlamentas</w:t>
      </w:r>
      <w:r w:rsidRPr="00895EA6">
        <w:rPr>
          <w:rFonts w:ascii="Times New Roman" w:eastAsia="Times New Roman" w:hAnsi="Times New Roman" w:cs="Times New Roman"/>
          <w:color w:val="000000"/>
          <w:sz w:val="24"/>
          <w:szCs w:val="24"/>
          <w:lang w:eastAsia="lt-LT"/>
        </w:rPr>
        <w:t>, arba tokia teisėkūros priemone grindžiamos reguliavimo priemonės, susijusios su asmens duomenų tvarkymu, </w:t>
      </w:r>
      <w:r w:rsidRPr="00895EA6">
        <w:rPr>
          <w:rFonts w:ascii="Times New Roman" w:eastAsia="Times New Roman" w:hAnsi="Times New Roman" w:cs="Times New Roman"/>
          <w:color w:val="FF0000"/>
          <w:sz w:val="24"/>
          <w:szCs w:val="24"/>
          <w:lang w:eastAsia="lt-LT"/>
        </w:rPr>
        <w:t>konsultuotis su priežiūros institucija</w:t>
      </w:r>
      <w:r w:rsidRPr="00895EA6">
        <w:rPr>
          <w:rFonts w:ascii="Times New Roman" w:eastAsia="Times New Roman" w:hAnsi="Times New Roman" w:cs="Times New Roman"/>
          <w:color w:val="000000"/>
          <w:sz w:val="24"/>
          <w:szCs w:val="24"/>
          <w:lang w:eastAsia="lt-LT"/>
        </w:rPr>
        <w:t>.</w:t>
      </w:r>
    </w:p>
    <w:p w:rsidR="00895EA6" w:rsidRPr="00895EA6" w:rsidRDefault="00895EA6" w:rsidP="00895E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895EA6">
        <w:rPr>
          <w:rFonts w:ascii="Times New Roman" w:eastAsia="Times New Roman" w:hAnsi="Times New Roman" w:cs="Times New Roman"/>
          <w:b/>
          <w:bCs/>
          <w:color w:val="000000"/>
          <w:sz w:val="24"/>
          <w:szCs w:val="24"/>
          <w:lang w:eastAsia="lt-LT"/>
        </w:rPr>
        <w:t>13. Duomenų valdytojai ir duomenų tvarkytojai gali perduoti asmens duomenis į trečiąją valstybę tik tuo atveju</w:t>
      </w:r>
      <w:r w:rsidRPr="00895EA6">
        <w:rPr>
          <w:rFonts w:ascii="Times New Roman" w:eastAsia="Times New Roman" w:hAnsi="Times New Roman" w:cs="Times New Roman"/>
          <w:color w:val="000000"/>
          <w:sz w:val="24"/>
          <w:szCs w:val="24"/>
          <w:lang w:eastAsia="lt-LT"/>
        </w:rPr>
        <w:t>, jeigu duomenų valdytojas arba duomenų tvarkytojas yra nustatęs tinkamas apsaugos priemones, su sąlyga, kad suteikiama galimybė naudotis vykdytinomis duomenų subjekto teisėmis ir veiksmingomis duomenų subjektų teisių gynimo priemonėmis, t. y. Reglamento nuostatos bus taikomos ne tik asmens duomenų perdavimui, bet ir </w:t>
      </w:r>
      <w:r w:rsidRPr="00895EA6">
        <w:rPr>
          <w:rFonts w:ascii="Times New Roman" w:eastAsia="Times New Roman" w:hAnsi="Times New Roman" w:cs="Times New Roman"/>
          <w:color w:val="FF0000"/>
          <w:sz w:val="24"/>
          <w:szCs w:val="24"/>
          <w:lang w:eastAsia="lt-LT"/>
        </w:rPr>
        <w:t>vėlesniam asmens duomenų tvarkymui</w:t>
      </w:r>
      <w:r w:rsidRPr="00895EA6">
        <w:rPr>
          <w:rFonts w:ascii="Times New Roman" w:eastAsia="Times New Roman" w:hAnsi="Times New Roman" w:cs="Times New Roman"/>
          <w:color w:val="000000"/>
          <w:sz w:val="24"/>
          <w:szCs w:val="24"/>
          <w:lang w:eastAsia="lt-LT"/>
        </w:rPr>
        <w:t>.</w:t>
      </w:r>
    </w:p>
    <w:p w:rsidR="00895EA6" w:rsidRPr="00895EA6" w:rsidRDefault="00895EA6" w:rsidP="00895E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895EA6">
        <w:rPr>
          <w:rFonts w:ascii="Times New Roman" w:eastAsia="Times New Roman" w:hAnsi="Times New Roman" w:cs="Times New Roman"/>
          <w:b/>
          <w:bCs/>
          <w:color w:val="000000"/>
          <w:sz w:val="24"/>
          <w:szCs w:val="24"/>
          <w:lang w:eastAsia="lt-LT"/>
        </w:rPr>
        <w:t>14. Kaip ir anksčiau, duomenų apsaugos priežiūros institucijai (Lietuvoje ši institucija yra Valstybinė duomenų apsaugos inspekcija (VDAI)) suteikta teisė tikrinti duomenų valdytojus dėl galimų asmens duomenų apsaugos pažeidimų</w:t>
      </w:r>
      <w:r w:rsidRPr="00895EA6">
        <w:rPr>
          <w:rFonts w:ascii="Times New Roman" w:eastAsia="Times New Roman" w:hAnsi="Times New Roman" w:cs="Times New Roman"/>
          <w:color w:val="000000"/>
          <w:sz w:val="24"/>
          <w:szCs w:val="24"/>
          <w:lang w:eastAsia="lt-LT"/>
        </w:rPr>
        <w:t>, tiek savo iniciatyva, tiek pagal galimai nukentėjusiųjų skundus.</w:t>
      </w:r>
    </w:p>
    <w:p w:rsidR="00895EA6" w:rsidRPr="00895EA6" w:rsidRDefault="00895EA6" w:rsidP="00895EA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895EA6">
        <w:rPr>
          <w:rFonts w:ascii="Times New Roman" w:eastAsia="Times New Roman" w:hAnsi="Times New Roman" w:cs="Times New Roman"/>
          <w:b/>
          <w:bCs/>
          <w:color w:val="000000"/>
          <w:sz w:val="24"/>
          <w:szCs w:val="24"/>
          <w:lang w:eastAsia="lt-LT"/>
        </w:rPr>
        <w:t>15. Reglamente numatytas baudų dydis</w:t>
      </w:r>
      <w:r w:rsidRPr="00895EA6">
        <w:rPr>
          <w:rFonts w:ascii="Times New Roman" w:eastAsia="Times New Roman" w:hAnsi="Times New Roman" w:cs="Times New Roman"/>
          <w:color w:val="000000"/>
          <w:sz w:val="24"/>
          <w:szCs w:val="24"/>
          <w:lang w:eastAsia="lt-LT"/>
        </w:rPr>
        <w:t> priverčia suklusti esamus ir būsimus duomenų valdytojus ir pažvelgti asmens duomenų apsaugą labai atsakingai. Duomenų valdytojui ir duomenų tvarkytojui, pažeidusiam Reglamento nuostatas, gali būti skiriamos administracinės baudos, kurios kiekvienu konkrečiu atveju turi būti veiksmingos, proporcingos ir atgrasomos. Priklausomai nuo Reglamento pažeidimo pobūdžio bauda gali siekti </w:t>
      </w:r>
      <w:r w:rsidRPr="00895EA6">
        <w:rPr>
          <w:rFonts w:ascii="Times New Roman" w:eastAsia="Times New Roman" w:hAnsi="Times New Roman" w:cs="Times New Roman"/>
          <w:color w:val="FF0000"/>
          <w:sz w:val="24"/>
          <w:szCs w:val="24"/>
          <w:lang w:eastAsia="lt-LT"/>
        </w:rPr>
        <w:t>nuo 2 iki 4 proc.</w:t>
      </w:r>
      <w:r w:rsidRPr="00895EA6">
        <w:rPr>
          <w:rFonts w:ascii="Times New Roman" w:eastAsia="Times New Roman" w:hAnsi="Times New Roman" w:cs="Times New Roman"/>
          <w:color w:val="000000"/>
          <w:sz w:val="24"/>
          <w:szCs w:val="24"/>
          <w:lang w:eastAsia="lt-LT"/>
        </w:rPr>
        <w:t> ankstesnių finansinių metų bendros metinės pasaulinės apyvartos, arba nuo </w:t>
      </w:r>
      <w:r w:rsidRPr="00895EA6">
        <w:rPr>
          <w:rFonts w:ascii="Times New Roman" w:eastAsia="Times New Roman" w:hAnsi="Times New Roman" w:cs="Times New Roman"/>
          <w:color w:val="FF0000"/>
          <w:sz w:val="24"/>
          <w:szCs w:val="24"/>
          <w:lang w:eastAsia="lt-LT"/>
        </w:rPr>
        <w:t>10 000 000 iki 20 000 000 EUR</w:t>
      </w:r>
      <w:r w:rsidRPr="00895EA6">
        <w:rPr>
          <w:rFonts w:ascii="Times New Roman" w:eastAsia="Times New Roman" w:hAnsi="Times New Roman" w:cs="Times New Roman"/>
          <w:color w:val="000000"/>
          <w:sz w:val="24"/>
          <w:szCs w:val="24"/>
          <w:lang w:eastAsia="lt-LT"/>
        </w:rPr>
        <w:t>.</w:t>
      </w:r>
      <w:bookmarkStart w:id="0" w:name="_GoBack"/>
      <w:bookmarkEnd w:id="0"/>
    </w:p>
    <w:sectPr w:rsidR="00895EA6" w:rsidRPr="00895EA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768F"/>
    <w:multiLevelType w:val="multilevel"/>
    <w:tmpl w:val="2156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F34073"/>
    <w:multiLevelType w:val="multilevel"/>
    <w:tmpl w:val="806E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90"/>
    <w:rsid w:val="005F7D44"/>
    <w:rsid w:val="00895EA6"/>
    <w:rsid w:val="00A16781"/>
    <w:rsid w:val="00AC1390"/>
    <w:rsid w:val="00F67B7E"/>
    <w:rsid w:val="00FD6E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5F7D4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F7D44"/>
    <w:rPr>
      <w:b/>
      <w:bCs/>
    </w:rPr>
  </w:style>
  <w:style w:type="character" w:styleId="Hipersaitas">
    <w:name w:val="Hyperlink"/>
    <w:basedOn w:val="Numatytasispastraiposriftas"/>
    <w:uiPriority w:val="99"/>
    <w:unhideWhenUsed/>
    <w:rsid w:val="005F7D44"/>
    <w:rPr>
      <w:color w:val="0000FF"/>
      <w:u w:val="single"/>
    </w:rPr>
  </w:style>
  <w:style w:type="character" w:customStyle="1" w:styleId="apple-converted-space">
    <w:name w:val="apple-converted-space"/>
    <w:basedOn w:val="Numatytasispastraiposriftas"/>
    <w:rsid w:val="005F7D44"/>
  </w:style>
  <w:style w:type="character" w:styleId="Perirtashipersaitas">
    <w:name w:val="FollowedHyperlink"/>
    <w:basedOn w:val="Numatytasispastraiposriftas"/>
    <w:uiPriority w:val="99"/>
    <w:semiHidden/>
    <w:unhideWhenUsed/>
    <w:rsid w:val="005F7D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5F7D4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F7D44"/>
    <w:rPr>
      <w:b/>
      <w:bCs/>
    </w:rPr>
  </w:style>
  <w:style w:type="character" w:styleId="Hipersaitas">
    <w:name w:val="Hyperlink"/>
    <w:basedOn w:val="Numatytasispastraiposriftas"/>
    <w:uiPriority w:val="99"/>
    <w:unhideWhenUsed/>
    <w:rsid w:val="005F7D44"/>
    <w:rPr>
      <w:color w:val="0000FF"/>
      <w:u w:val="single"/>
    </w:rPr>
  </w:style>
  <w:style w:type="character" w:customStyle="1" w:styleId="apple-converted-space">
    <w:name w:val="apple-converted-space"/>
    <w:basedOn w:val="Numatytasispastraiposriftas"/>
    <w:rsid w:val="005F7D44"/>
  </w:style>
  <w:style w:type="character" w:styleId="Perirtashipersaitas">
    <w:name w:val="FollowedHyperlink"/>
    <w:basedOn w:val="Numatytasispastraiposriftas"/>
    <w:uiPriority w:val="99"/>
    <w:semiHidden/>
    <w:unhideWhenUsed/>
    <w:rsid w:val="005F7D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1045">
      <w:bodyDiv w:val="1"/>
      <w:marLeft w:val="0"/>
      <w:marRight w:val="0"/>
      <w:marTop w:val="0"/>
      <w:marBottom w:val="0"/>
      <w:divBdr>
        <w:top w:val="none" w:sz="0" w:space="0" w:color="auto"/>
        <w:left w:val="none" w:sz="0" w:space="0" w:color="auto"/>
        <w:bottom w:val="none" w:sz="0" w:space="0" w:color="auto"/>
        <w:right w:val="none" w:sz="0" w:space="0" w:color="auto"/>
      </w:divBdr>
    </w:div>
    <w:div w:id="1459689609">
      <w:bodyDiv w:val="1"/>
      <w:marLeft w:val="0"/>
      <w:marRight w:val="0"/>
      <w:marTop w:val="0"/>
      <w:marBottom w:val="0"/>
      <w:divBdr>
        <w:top w:val="none" w:sz="0" w:space="0" w:color="auto"/>
        <w:left w:val="none" w:sz="0" w:space="0" w:color="auto"/>
        <w:bottom w:val="none" w:sz="0" w:space="0" w:color="auto"/>
        <w:right w:val="none" w:sz="0" w:space="0" w:color="auto"/>
      </w:divBdr>
    </w:div>
    <w:div w:id="187126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cy-regulation.eu/lt/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ur-lex.europa.eu/legal-content/LT/TXT/PDF/?uri=OJ:L:2016:119:FULL&amp;from=EN" TargetMode="External"/><Relationship Id="rId12" Type="http://schemas.openxmlformats.org/officeDocument/2006/relationships/hyperlink" Target="https://www.ada.lt/go.php/Asmens-duomenu-apsaugos-reforma6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justice/smedataprotect/index_lt.htm" TargetMode="External"/><Relationship Id="rId11" Type="http://schemas.openxmlformats.org/officeDocument/2006/relationships/hyperlink" Target="http://eur-lex.europa.eu/legal-content/EN/TXT/PDF/?uri=CELEX:32016R0679&amp;from=en" TargetMode="External"/><Relationship Id="rId5" Type="http://schemas.openxmlformats.org/officeDocument/2006/relationships/webSettings" Target="webSettings.xml"/><Relationship Id="rId10" Type="http://schemas.openxmlformats.org/officeDocument/2006/relationships/hyperlink" Target="http://eur-lex.europa.eu/legal-content/LT/TXT/PDF/?uri=OJ:L:2016:119:FULL&amp;from=EN" TargetMode="External"/><Relationship Id="rId4" Type="http://schemas.openxmlformats.org/officeDocument/2006/relationships/settings" Target="settings.xml"/><Relationship Id="rId9" Type="http://schemas.openxmlformats.org/officeDocument/2006/relationships/hyperlink" Target="http://www.privacy-regulation.eu/lt/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6379</Words>
  <Characters>3637</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ROMENA</cp:lastModifiedBy>
  <cp:revision>4</cp:revision>
  <dcterms:created xsi:type="dcterms:W3CDTF">2018-10-10T07:27:00Z</dcterms:created>
  <dcterms:modified xsi:type="dcterms:W3CDTF">2018-10-11T08:05:00Z</dcterms:modified>
</cp:coreProperties>
</file>